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66D" w:rsidRDefault="0081366D" w:rsidP="0081366D">
      <w:pPr>
        <w:spacing w:after="100" w:afterAutospacing="1" w:line="240" w:lineRule="auto"/>
        <w:jc w:val="center"/>
        <w:rPr>
          <w:rFonts w:ascii="robotoregular" w:eastAsia="Times New Roman" w:hAnsi="robotoregular" w:cs="Segoe UI"/>
          <w:color w:val="292B2C"/>
          <w:sz w:val="24"/>
          <w:szCs w:val="24"/>
          <w:lang w:eastAsia="hu-HU"/>
        </w:rPr>
      </w:pPr>
      <w:r>
        <w:rPr>
          <w:rFonts w:ascii="robotoregular" w:eastAsia="Times New Roman" w:hAnsi="robotoregular" w:cs="Segoe UI"/>
          <w:color w:val="292B2C"/>
          <w:sz w:val="24"/>
          <w:szCs w:val="24"/>
          <w:lang w:eastAsia="hu-HU"/>
        </w:rPr>
        <w:t>Hagyatéki eljárásról tájékoztató</w:t>
      </w:r>
    </w:p>
    <w:p w:rsidR="0081366D" w:rsidRDefault="0081366D" w:rsidP="0081366D">
      <w:pPr>
        <w:spacing w:after="100" w:afterAutospacing="1" w:line="240" w:lineRule="auto"/>
        <w:jc w:val="center"/>
        <w:rPr>
          <w:rFonts w:ascii="robotoregular" w:eastAsia="Times New Roman" w:hAnsi="robotoregular" w:cs="Segoe UI"/>
          <w:color w:val="292B2C"/>
          <w:sz w:val="24"/>
          <w:szCs w:val="24"/>
          <w:lang w:eastAsia="hu-HU"/>
        </w:rPr>
      </w:pPr>
    </w:p>
    <w:p w:rsidR="0081366D" w:rsidRPr="0081366D" w:rsidRDefault="0081366D" w:rsidP="0081366D">
      <w:pPr>
        <w:spacing w:after="100" w:afterAutospacing="1" w:line="240" w:lineRule="auto"/>
        <w:jc w:val="both"/>
        <w:rPr>
          <w:rFonts w:ascii="robotoregular" w:eastAsia="Times New Roman" w:hAnsi="robotoregular" w:cs="Segoe UI"/>
          <w:color w:val="292B2C"/>
          <w:sz w:val="24"/>
          <w:szCs w:val="24"/>
          <w:lang w:eastAsia="hu-HU"/>
        </w:rPr>
      </w:pPr>
      <w:r w:rsidRPr="0081366D">
        <w:rPr>
          <w:rFonts w:ascii="robotoregular" w:eastAsia="Times New Roman" w:hAnsi="robotoregular" w:cs="Segoe UI"/>
          <w:color w:val="292B2C"/>
          <w:sz w:val="24"/>
          <w:szCs w:val="24"/>
          <w:lang w:eastAsia="hu-HU"/>
        </w:rPr>
        <w:t xml:space="preserve">A hagyatéki eljárás célja, hogy rendezze a </w:t>
      </w:r>
      <w:r>
        <w:rPr>
          <w:rFonts w:ascii="robotoregular" w:eastAsia="Times New Roman" w:hAnsi="robotoregular" w:cs="Segoe UI"/>
          <w:color w:val="292B2C"/>
          <w:sz w:val="24"/>
          <w:szCs w:val="24"/>
          <w:lang w:eastAsia="hu-HU"/>
        </w:rPr>
        <w:t>Jánoshalmán</w:t>
      </w:r>
      <w:r w:rsidRPr="0081366D">
        <w:rPr>
          <w:rFonts w:ascii="robotoregular" w:eastAsia="Times New Roman" w:hAnsi="robotoregular" w:cs="Segoe UI"/>
          <w:color w:val="292B2C"/>
          <w:sz w:val="24"/>
          <w:szCs w:val="24"/>
          <w:lang w:eastAsia="hu-HU"/>
        </w:rPr>
        <w:t xml:space="preserve"> állandó lakcímmel rendelkező elhunytak vagyoni helyzetét.</w:t>
      </w:r>
    </w:p>
    <w:p w:rsidR="0081366D" w:rsidRPr="0081366D" w:rsidRDefault="0081366D" w:rsidP="0081366D">
      <w:pPr>
        <w:spacing w:after="100" w:afterAutospacing="1" w:line="240" w:lineRule="auto"/>
        <w:jc w:val="both"/>
        <w:rPr>
          <w:rFonts w:ascii="robotoregular" w:eastAsia="Times New Roman" w:hAnsi="robotoregular" w:cs="Segoe UI"/>
          <w:color w:val="292B2C"/>
          <w:sz w:val="24"/>
          <w:szCs w:val="24"/>
          <w:lang w:eastAsia="hu-HU"/>
        </w:rPr>
      </w:pPr>
      <w:r w:rsidRPr="0081366D">
        <w:rPr>
          <w:rFonts w:ascii="robotoregular" w:eastAsia="Times New Roman" w:hAnsi="robotoregular" w:cs="Segoe UI"/>
          <w:color w:val="292B2C"/>
          <w:sz w:val="24"/>
          <w:szCs w:val="24"/>
          <w:lang w:eastAsia="hu-HU"/>
        </w:rPr>
        <w:t xml:space="preserve">A hagyatéki eljárásról szóló </w:t>
      </w:r>
      <w:hyperlink r:id="rId4" w:tgtFrame="_blank" w:history="1">
        <w:r w:rsidRPr="0081366D">
          <w:rPr>
            <w:rFonts w:ascii="robotoregular" w:eastAsia="Times New Roman" w:hAnsi="robotoregular" w:cs="Segoe UI"/>
            <w:sz w:val="24"/>
            <w:szCs w:val="24"/>
            <w:lang w:eastAsia="hu-HU"/>
          </w:rPr>
          <w:t>2010. évi XXXVIII. törvény</w:t>
        </w:r>
      </w:hyperlink>
      <w:r w:rsidRPr="0081366D">
        <w:rPr>
          <w:rFonts w:ascii="robotoregular" w:eastAsia="Times New Roman" w:hAnsi="robotoregular" w:cs="Segoe UI"/>
          <w:color w:val="292B2C"/>
          <w:sz w:val="24"/>
          <w:szCs w:val="24"/>
          <w:lang w:eastAsia="hu-HU"/>
        </w:rPr>
        <w:t xml:space="preserve"> rendelkezései alapján az eljárás a </w:t>
      </w:r>
      <w:proofErr w:type="spellStart"/>
      <w:r w:rsidRPr="0081366D">
        <w:rPr>
          <w:rFonts w:ascii="robotoregular" w:eastAsia="Times New Roman" w:hAnsi="robotoregular" w:cs="Segoe UI"/>
          <w:color w:val="292B2C"/>
          <w:sz w:val="24"/>
          <w:szCs w:val="24"/>
          <w:lang w:eastAsia="hu-HU"/>
        </w:rPr>
        <w:t>halottvizsgálati</w:t>
      </w:r>
      <w:proofErr w:type="spellEnd"/>
      <w:r w:rsidRPr="0081366D">
        <w:rPr>
          <w:rFonts w:ascii="robotoregular" w:eastAsia="Times New Roman" w:hAnsi="robotoregular" w:cs="Segoe UI"/>
          <w:color w:val="292B2C"/>
          <w:sz w:val="24"/>
          <w:szCs w:val="24"/>
          <w:lang w:eastAsia="hu-HU"/>
        </w:rPr>
        <w:t xml:space="preserve"> bizonyítvány beérkezésével hivatalból indul, de kérelemre az öröklésben érdekeltek is megindíthatják, amennyiben rendelkeznek azokkal az adatokkal, amelyek a hagyatéki leltár elkészítéséhez szü</w:t>
      </w:r>
      <w:bookmarkStart w:id="0" w:name="_GoBack"/>
      <w:bookmarkEnd w:id="0"/>
      <w:r w:rsidRPr="0081366D">
        <w:rPr>
          <w:rFonts w:ascii="robotoregular" w:eastAsia="Times New Roman" w:hAnsi="robotoregular" w:cs="Segoe UI"/>
          <w:color w:val="292B2C"/>
          <w:sz w:val="24"/>
          <w:szCs w:val="24"/>
          <w:lang w:eastAsia="hu-HU"/>
        </w:rPr>
        <w:t>kségesek.</w:t>
      </w:r>
    </w:p>
    <w:p w:rsidR="0081366D" w:rsidRPr="0081366D" w:rsidRDefault="0081366D" w:rsidP="0081366D">
      <w:pPr>
        <w:spacing w:after="100" w:afterAutospacing="1" w:line="240" w:lineRule="auto"/>
        <w:jc w:val="both"/>
        <w:rPr>
          <w:rFonts w:ascii="robotoregular" w:eastAsia="Times New Roman" w:hAnsi="robotoregular" w:cs="Segoe UI"/>
          <w:color w:val="292B2C"/>
          <w:sz w:val="24"/>
          <w:szCs w:val="24"/>
          <w:lang w:eastAsia="hu-HU"/>
        </w:rPr>
      </w:pPr>
      <w:r w:rsidRPr="0081366D">
        <w:rPr>
          <w:rFonts w:ascii="robotoregular" w:eastAsia="Times New Roman" w:hAnsi="robotoregular" w:cs="Segoe UI"/>
          <w:color w:val="292B2C"/>
          <w:sz w:val="24"/>
          <w:szCs w:val="24"/>
          <w:lang w:eastAsia="hu-HU"/>
        </w:rPr>
        <w:t xml:space="preserve">Abban az esetben, amikor hivatalból indul az eljárás, az ügyintézők írásban keresik meg a </w:t>
      </w:r>
      <w:proofErr w:type="spellStart"/>
      <w:r w:rsidRPr="0081366D">
        <w:rPr>
          <w:rFonts w:ascii="robotoregular" w:eastAsia="Times New Roman" w:hAnsi="robotoregular" w:cs="Segoe UI"/>
          <w:color w:val="292B2C"/>
          <w:sz w:val="24"/>
          <w:szCs w:val="24"/>
          <w:lang w:eastAsia="hu-HU"/>
        </w:rPr>
        <w:t>halottvizsgálati</w:t>
      </w:r>
      <w:proofErr w:type="spellEnd"/>
      <w:r w:rsidRPr="0081366D">
        <w:rPr>
          <w:rFonts w:ascii="robotoregular" w:eastAsia="Times New Roman" w:hAnsi="robotoregular" w:cs="Segoe UI"/>
          <w:color w:val="292B2C"/>
          <w:sz w:val="24"/>
          <w:szCs w:val="24"/>
          <w:lang w:eastAsia="hu-HU"/>
        </w:rPr>
        <w:t xml:space="preserve"> bizonyítványon szereplő hozzátartozót, és tájékoztatják, hogy milyen iratokat és adatokat kell beszerezniük, mielőtt személyesen felkeresik a hivatalt, ahol büntetőjogi felelőssége tudatában, aláírásával igazolja az adatok valódiságát.</w:t>
      </w:r>
    </w:p>
    <w:p w:rsidR="0081366D" w:rsidRPr="0081366D" w:rsidRDefault="0081366D" w:rsidP="0081366D">
      <w:pPr>
        <w:spacing w:after="100" w:afterAutospacing="1" w:line="240" w:lineRule="auto"/>
        <w:jc w:val="both"/>
        <w:rPr>
          <w:rFonts w:ascii="robotoregular" w:eastAsia="Times New Roman" w:hAnsi="robotoregular" w:cs="Segoe UI"/>
          <w:color w:val="292B2C"/>
          <w:sz w:val="24"/>
          <w:szCs w:val="24"/>
          <w:lang w:eastAsia="hu-HU"/>
        </w:rPr>
      </w:pPr>
      <w:r w:rsidRPr="0081366D">
        <w:rPr>
          <w:rFonts w:ascii="robotoregular" w:eastAsia="Times New Roman" w:hAnsi="robotoregular" w:cs="Segoe UI"/>
          <w:color w:val="292B2C"/>
          <w:sz w:val="24"/>
          <w:szCs w:val="24"/>
          <w:lang w:eastAsia="hu-HU"/>
        </w:rPr>
        <w:t>Kötelezően feltüntetendő ingatlan vagyon esetében az adóosztály bevonásával az ingatlan értékbecslése is megtörténik.</w:t>
      </w:r>
    </w:p>
    <w:p w:rsidR="0081366D" w:rsidRPr="0081366D" w:rsidRDefault="0081366D" w:rsidP="0081366D">
      <w:pPr>
        <w:spacing w:after="100" w:afterAutospacing="1" w:line="240" w:lineRule="auto"/>
        <w:jc w:val="both"/>
        <w:rPr>
          <w:rFonts w:ascii="robotoregular" w:eastAsia="Times New Roman" w:hAnsi="robotoregular" w:cs="Segoe UI"/>
          <w:color w:val="292B2C"/>
          <w:sz w:val="24"/>
          <w:szCs w:val="24"/>
          <w:lang w:eastAsia="hu-HU"/>
        </w:rPr>
      </w:pPr>
      <w:r w:rsidRPr="0081366D">
        <w:rPr>
          <w:rFonts w:ascii="robotoregular" w:eastAsia="Times New Roman" w:hAnsi="robotoregular" w:cs="Segoe UI"/>
          <w:color w:val="292B2C"/>
          <w:sz w:val="24"/>
          <w:szCs w:val="24"/>
          <w:lang w:eastAsia="hu-HU"/>
        </w:rPr>
        <w:t>A hagyatéki ügyintézők a helyszíni – és széf-leltár lebonyolítását is végzik, és szükség esetén biztosítási intézkedéseket tesznek (például a lakás zárolása, az ingóságok illetve készpénz bírói letétben való elhelyezése).</w:t>
      </w:r>
    </w:p>
    <w:p w:rsidR="0081366D" w:rsidRPr="0081366D" w:rsidRDefault="0081366D" w:rsidP="0081366D">
      <w:pPr>
        <w:spacing w:after="100" w:afterAutospacing="1" w:line="240" w:lineRule="auto"/>
        <w:jc w:val="both"/>
        <w:rPr>
          <w:rFonts w:ascii="robotoregular" w:eastAsia="Times New Roman" w:hAnsi="robotoregular" w:cs="Segoe UI"/>
          <w:color w:val="292B2C"/>
          <w:sz w:val="24"/>
          <w:szCs w:val="24"/>
          <w:lang w:eastAsia="hu-HU"/>
        </w:rPr>
      </w:pPr>
      <w:r w:rsidRPr="0081366D">
        <w:rPr>
          <w:rFonts w:ascii="robotoregular" w:eastAsia="Times New Roman" w:hAnsi="robotoregular" w:cs="Segoe UI"/>
          <w:color w:val="292B2C"/>
          <w:sz w:val="24"/>
          <w:szCs w:val="24"/>
          <w:lang w:eastAsia="hu-HU"/>
        </w:rPr>
        <w:t>A hagyatéki eljárás a közjegyzőnél fejeződik be, ahol tárgyalás keretében átadják a vagyont az örökösöknek. A tárgyalás időpontjáról a közjegyző értesíti az érdekelteket.</w:t>
      </w:r>
    </w:p>
    <w:p w:rsidR="003D1089" w:rsidRDefault="003D1089" w:rsidP="0081366D">
      <w:pPr>
        <w:jc w:val="both"/>
      </w:pPr>
    </w:p>
    <w:sectPr w:rsidR="003D1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regular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6D"/>
    <w:rsid w:val="003D1089"/>
    <w:rsid w:val="0081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98B83-445B-49C3-92C6-6E066D23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1366D"/>
    <w:pPr>
      <w:spacing w:after="161" w:line="240" w:lineRule="auto"/>
      <w:outlineLvl w:val="0"/>
    </w:pPr>
    <w:rPr>
      <w:rFonts w:ascii="robotoregular" w:eastAsia="Times New Roman" w:hAnsi="robotoregular" w:cs="Times New Roman"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1366D"/>
    <w:rPr>
      <w:rFonts w:ascii="robotoregular" w:eastAsia="Times New Roman" w:hAnsi="robotoregular" w:cs="Times New Roman"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1366D"/>
    <w:rPr>
      <w:strike w:val="0"/>
      <w:dstrike w:val="0"/>
      <w:color w:val="0275D8"/>
      <w:u w:val="none"/>
      <w:effect w:val="none"/>
      <w:shd w:val="clear" w:color="auto" w:fill="auto"/>
    </w:rPr>
  </w:style>
  <w:style w:type="paragraph" w:styleId="NormlWeb">
    <w:name w:val="Normal (Web)"/>
    <w:basedOn w:val="Norml"/>
    <w:uiPriority w:val="99"/>
    <w:semiHidden/>
    <w:unhideWhenUsed/>
    <w:rsid w:val="0081366D"/>
    <w:pPr>
      <w:spacing w:after="100" w:afterAutospacing="1" w:line="240" w:lineRule="auto"/>
    </w:pPr>
    <w:rPr>
      <w:rFonts w:ascii="robotoregular" w:eastAsia="Times New Roman" w:hAnsi="robotoregular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8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3124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5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45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170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4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2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t.jogtar.hu/jr/gen/hjegy_doc.cgi?docid=A1000038.T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Rózsáné Zsuzsi</dc:creator>
  <cp:keywords/>
  <dc:description/>
  <cp:lastModifiedBy>Rózsáné Zsuzsi</cp:lastModifiedBy>
  <cp:revision>1</cp:revision>
  <dcterms:created xsi:type="dcterms:W3CDTF">2021-01-19T09:12:00Z</dcterms:created>
  <dcterms:modified xsi:type="dcterms:W3CDTF">2021-01-19T09:15:00Z</dcterms:modified>
</cp:coreProperties>
</file>